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4107"/>
        <w:gridCol w:w="1850"/>
      </w:tblGrid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필리핀어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5월 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일부터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Mula sa ika-6 ng mayo</w:t>
            </w:r>
          </w:p>
        </w:tc>
        <w:tc>
          <w:tcPr>
            <w:tcW w:w="1850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top"/>
          </w:tcPr>
          <w:p>
            <w:pPr>
              <w:jc w:val="both"/>
            </w:pPr>
            <w:r>
              <w:rPr>
                <w:lang w:eastAsia="ko-KR"/>
                <w:rFonts w:asciiTheme="minorEastAsia" w:hAnsiTheme="minorEastAsia"/>
                <w:sz w:val="14"/>
                <w:szCs w:val="14"/>
                <w:rtl w:val="off"/>
              </w:rPr>
              <w:t xml:space="preserve">Mula sa ika-6 ng mayo Mga </w:t>
            </w:r>
            <w:r>
              <w:rPr>
                <w:sz w:val="14"/>
                <w:szCs w:val="16"/>
              </w:rPr>
              <w:t>Pagbabago</w:t>
            </w:r>
            <w:r>
              <w:rPr>
                <w:lang w:eastAsia="ko-KR"/>
                <w:sz w:val="14"/>
                <w:szCs w:val="16"/>
                <w:rtl w:val="off"/>
              </w:rPr>
              <w:t xml:space="preserve"> sa yugto ng </w:t>
            </w:r>
            <w:r>
              <w:rPr>
                <w:lang w:eastAsia="ko-KR"/>
                <w:rFonts w:asciiTheme="minorEastAsia" w:hAnsiTheme="minorEastAsia"/>
                <w:sz w:val="14"/>
                <w:szCs w:val="14"/>
                <w:rtl w:val="off"/>
              </w:rPr>
              <w:t xml:space="preserve">Sistema ng pag-iwas sa Pang-araw-araw na pamumuhay at Mga hakbang sa pananatili ng </w:t>
            </w:r>
            <w:r>
              <w:rPr>
                <w:sz w:val="14"/>
                <w:szCs w:val="16"/>
              </w:rPr>
              <w:t>panlipunang distansya</w:t>
            </w:r>
            <w:r>
              <w:rPr>
                <w:lang w:eastAsia="ko-KR"/>
                <w:sz w:val="14"/>
                <w:szCs w:val="16"/>
                <w:rtl w:val="off"/>
              </w:rPr>
              <w:t>.</w:t>
            </w:r>
          </w:p>
        </w:tc>
      </w:tr>
      <w:tr>
        <w:trPr>
          <w:trHeight w:val="498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생활방역체계,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생활 속 </w:t>
            </w:r>
            <w:r>
              <w:rPr>
                <w:rFonts w:asciiTheme="minorEastAsia" w:hAnsiTheme="minorEastAsia"/>
                <w:sz w:val="18"/>
                <w:szCs w:val="18"/>
              </w:rPr>
              <w:t>거리두기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단계로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 xml:space="preserve">Sistema ng pag-iwas sa Pang-araw-araw na pamumuhay, Mga hakbang sa pananatili ng </w:t>
            </w:r>
            <w:bookmarkStart w:id="1" w:name="_top"/>
            <w:bookmarkEnd w:id="1"/>
            <w:r>
              <w:rPr>
                <w:sz w:val="18"/>
                <w:szCs w:val="18"/>
              </w:rPr>
              <w:t>panlipunang distansya</w:t>
            </w:r>
            <w:r>
              <w:rPr>
                <w:lang w:eastAsia="ko-KR"/>
                <w:sz w:val="18"/>
                <w:szCs w:val="18"/>
                <w:rtl w:val="off"/>
              </w:rPr>
              <w:t>.</w:t>
            </w:r>
          </w:p>
        </w:tc>
        <w:tc>
          <w:tcPr>
            <w:tcW w:w="1850" w:type="dxa"/>
            <w:vMerge w:val="continue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전환합니다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Pagbabago</w:t>
            </w:r>
          </w:p>
        </w:tc>
        <w:tc>
          <w:tcPr>
            <w:tcW w:w="1850" w:type="dxa"/>
            <w:vMerge w:val="continue"/>
            <w:tcBorders>
              <w:top w:val="single" w:sz="4" w:space="0" w:color="auto"/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생활 속 </w:t>
            </w:r>
            <w:r>
              <w:rPr>
                <w:rFonts w:asciiTheme="minorEastAsia" w:hAnsiTheme="minorEastAsia"/>
                <w:sz w:val="18"/>
                <w:szCs w:val="18"/>
              </w:rPr>
              <w:t>거리두기는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 panlipunang distansya </w:t>
            </w:r>
          </w:p>
        </w:tc>
        <w:tc>
          <w:tcPr>
            <w:tcW w:w="1850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top"/>
          </w:tcPr>
          <w:p>
            <w:pPr/>
            <w:r>
              <w:rPr>
                <w:sz w:val="14"/>
                <w:szCs w:val="14"/>
              </w:rPr>
              <w:t xml:space="preserve">Ang panlipunang distansya </w:t>
            </w:r>
            <w:r>
              <w:rPr>
                <w:lang w:eastAsia="ko-KR"/>
                <w:sz w:val="14"/>
                <w:szCs w:val="14"/>
                <w:rtl w:val="off"/>
              </w:rPr>
              <w:t xml:space="preserve">sa pamumuhay ay </w:t>
            </w:r>
            <w:r>
              <w:rPr>
                <w:rFonts w:ascii="맑은 고딕" w:eastAsia="맑은 고딕" w:hAnsi="맑은 고딕" w:cs="맑은 고딕"/>
                <w:color w:val="000000"/>
                <w:sz w:val="14"/>
                <w:szCs w:val="14"/>
                <w:spacing w:val="0"/>
              </w:rPr>
              <w:t xml:space="preserve">bagong pangmatagalan at tuluy-tuloy na sistema ng pag-iwas para sa pang-araw-araw na </w:t>
            </w:r>
            <w:r>
              <w:rPr>
                <w:lang w:eastAsia="ko-KR"/>
                <w:rFonts w:asciiTheme="minorEastAsia" w:hAnsiTheme="minorEastAsia"/>
                <w:sz w:val="14"/>
                <w:szCs w:val="14"/>
                <w:rtl w:val="off"/>
              </w:rPr>
              <w:t>pamumuhay</w:t>
            </w:r>
            <w:r>
              <w:rPr>
                <w:rFonts w:ascii="맑은 고딕" w:eastAsia="맑은 고딕" w:hAnsi="맑은 고딕" w:cs="맑은 고딕"/>
                <w:color w:val="000000"/>
                <w:sz w:val="14"/>
                <w:szCs w:val="14"/>
                <w:spacing w:val="0"/>
              </w:rPr>
              <w:t xml:space="preserve">, pang-ekonomiya at panlipunan na aktibidad, 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4"/>
                <w:szCs w:val="14"/>
                <w:spacing w:val="0"/>
                <w:rtl w:val="off"/>
              </w:rPr>
              <w:t>at</w:t>
            </w:r>
            <w:r>
              <w:rPr>
                <w:rFonts w:ascii="맑은 고딕" w:eastAsia="맑은 고딕" w:hAnsi="맑은 고딕" w:cs="맑은 고딕"/>
                <w:color w:val="000000"/>
                <w:sz w:val="14"/>
                <w:szCs w:val="14"/>
                <w:spacing w:val="0"/>
              </w:rPr>
              <w:t xml:space="preserve"> patuloy din ang mga aktibidad sa pag-iwas sa impeksyon</w:t>
            </w:r>
            <w:r>
              <w:rPr>
                <w:rFonts w:ascii="맑은 고딕" w:eastAsia="맑은 고딕" w:hAnsi="맑은 고딕" w:cs="맑은 고딕"/>
                <w:color w:val="000000"/>
                <w:sz w:val="14"/>
                <w:szCs w:val="14"/>
                <w:spacing w:val="0"/>
              </w:rPr>
              <w:t>.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일상생활과 경제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‧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사회활동을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새로운 일상의 장기적,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지속적 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방역체계입니다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bagong pangmatagalan at tuluy-tuloy na sistema ng pag-iwas para sa pang-araw-araw na </w:t>
            </w: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pamumuhay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, pang-ekonomiya at panlipunan na aktibidad, 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at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 patuloy din ang mga aktibidad sa pag-iwas sa impeksyon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.</w:t>
            </w:r>
          </w:p>
        </w:tc>
        <w:tc>
          <w:tcPr>
            <w:tcW w:w="1850" w:type="dxa"/>
            <w:vMerge w:val="continue"/>
            <w:tcBorders>
              <w:top w:val="single" w:sz="4" w:space="0" w:color="auto"/>
              <w:left w:val="single" w:sz="2" w:space="0" w:color="auto"/>
            </w:tcBorders>
            <w:vAlign w:val="top"/>
          </w:tcPr>
          <w:p/>
        </w:tc>
      </w:tr>
      <w:tr>
        <w:trPr>
          <w:trHeight w:val="498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개인방역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대 </w:t>
            </w:r>
            <w:r>
              <w:rPr>
                <w:rFonts w:asciiTheme="minorEastAsia" w:hAnsiTheme="minorEastAsia"/>
                <w:sz w:val="18"/>
                <w:szCs w:val="18"/>
              </w:rPr>
              <w:t>기본수칙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5 pangunahing panuntunan para sa personal na 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kalinisan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아프면 </w:t>
            </w:r>
            <w:r>
              <w:rPr>
                <w:rFonts w:asciiTheme="minorEastAsia" w:hAnsiTheme="minorEastAsia"/>
                <w:sz w:val="18"/>
                <w:szCs w:val="18"/>
              </w:rPr>
              <w:t>3~4</w:t>
            </w:r>
            <w:r>
              <w:rPr>
                <w:rFonts w:asciiTheme="minorEastAsia" w:hAnsiTheme="minorEastAsia"/>
                <w:sz w:val="18"/>
                <w:szCs w:val="18"/>
              </w:rPr>
              <w:t>일 집에 머물기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Manatili sa loob ng bahay ng 3~4 na araw kung ikaw ay may sakit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사람과 사람 사이,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두 팔 간격 건강 </w:t>
            </w:r>
            <w:r>
              <w:rPr>
                <w:rFonts w:asciiTheme="minorEastAsia" w:hAnsiTheme="minorEastAsia"/>
                <w:sz w:val="18"/>
                <w:szCs w:val="18"/>
              </w:rPr>
              <w:t>거리두기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Distansya sa pagitan ng mga tao,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 xml:space="preserve"> Dumistansya ng hanggang dalawang braso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30초 손 씻기,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기침은 옷소매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Hugasan ang kamay ng 30 segundo, takpan ang bibig sa pag-ubo gamit ang iyong manggas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매일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번 </w:t>
            </w:r>
            <w:r>
              <w:rPr>
                <w:rFonts w:asciiTheme="minorEastAsia" w:hAnsiTheme="minorEastAsia"/>
                <w:sz w:val="18"/>
                <w:szCs w:val="18"/>
              </w:rPr>
              <w:t>이상 환기,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주기적 소독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Bentilasyon ng hindi bababa sa dalawang beses araw-araw, regular na pagdidisimpekta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거리는 멀어져도 마음은 가까이 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Malayo man ang distansya malapit naman ang mga damdamin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여성가족부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2"/>
                <w:szCs w:val="20"/>
                <w:spacing w:val="0"/>
              </w:rPr>
              <w:t xml:space="preserve">Ministri ng 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0"/>
                <w:spacing w:val="0"/>
                <w:rtl w:val="off"/>
              </w:rPr>
              <w:t>K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0"/>
                <w:spacing w:val="0"/>
              </w:rPr>
              <w:t>asarian at Pamilya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pStyle w:val="a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 번역은 다누리콜센터1577-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366</w:t>
            </w:r>
            <w:r>
              <w:rPr>
                <w:rFonts w:hint="eastAsia"/>
                <w:sz w:val="18"/>
                <w:szCs w:val="18"/>
              </w:rPr>
              <w:t>에</w:t>
            </w:r>
            <w:r>
              <w:rPr>
                <w:rFonts w:hint="eastAsia"/>
                <w:sz w:val="18"/>
                <w:szCs w:val="18"/>
              </w:rPr>
              <w:t>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하였습니다.</w:t>
            </w:r>
          </w:p>
        </w:tc>
        <w:tc>
          <w:tcPr>
            <w:tcW w:w="4107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/>
                <w:sz w:val="18"/>
                <w:szCs w:val="18"/>
                <w:rtl w:val="off"/>
              </w:rPr>
              <w:t>isinalin ng Danuri helpline 1577-1366</w:t>
            </w:r>
          </w:p>
        </w:tc>
        <w:tc>
          <w:tcPr>
            <w:tcW w:w="1850" w:type="dxa"/>
            <w:tcBorders>
              <w:left w:val="single" w:sz="2" w:space="0" w:color="auto"/>
            </w:tcBorders>
            <w:vAlign w:val="top"/>
          </w:tcPr>
          <w:p/>
        </w:tc>
      </w:tr>
    </w:tbl>
    <w:p>
      <w:pPr>
        <w:rPr>
          <w:rFonts w:asciiTheme="minorEastAsia" w:hAnsiTheme="minorEastAsia"/>
          <w:szCs w:val="2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선진희</cp:lastModifiedBy>
  <cp:revision>1</cp:revision>
  <dcterms:created xsi:type="dcterms:W3CDTF">2020-05-04T05:20:00Z</dcterms:created>
  <dcterms:modified xsi:type="dcterms:W3CDTF">2020-05-06T00:19:20Z</dcterms:modified>
  <cp:version>1000.0100.01</cp:version>
</cp:coreProperties>
</file>